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xml" PartName="/customXML/item1.xml"/>
  <Override ContentType="application/vnd.openxmlformats-officedocument.customXmlProperties+xml" PartName="/customXML/itemProps1.xml"/>
  <Override ContentType="application/vnd.openxmlformats-officedocument.wordprocessingml.styles+xml" PartName="/word/styles.xml"/>
  <Override ContentType="application/vnd.openxmlformats-officedocument.wordprocessingml.footer+xml" PartName="/word/footer2.xml"/>
  <Override ContentType="application/vnd.openxmlformats-officedocument.wordprocessingml.footer+xml" PartName="/word/footer1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3.xml"/>
  <Override ContentType="application/vnd.openxmlformats-officedocument.wordprocessingml.header+xml" PartName="/word/header2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jc w:val="left"/>
        <w:rPr>
          <w:rFonts w:ascii="Calibri" w:cs="Calibri" w:eastAsia="Calibri" w:hAnsi="Calibri"/>
          <w:b w:val="1"/>
          <w:sz w:val="40"/>
          <w:szCs w:val="4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jc w:val="center"/>
        <w:rPr>
          <w:rFonts w:ascii="Calibri" w:cs="Calibri" w:eastAsia="Calibri" w:hAnsi="Calibri"/>
          <w:b w:val="1"/>
          <w:sz w:val="28"/>
          <w:szCs w:val="28"/>
        </w:rPr>
      </w:pPr>
      <w:bookmarkStart w:colFirst="0" w:colLast="0" w:name="_heading=h.gjdgxs" w:id="0"/>
      <w:bookmarkEnd w:id="0"/>
      <w:r w:rsidDel="00000000" w:rsidR="00000000" w:rsidRPr="00000000">
        <w:rPr>
          <w:b w:val="1"/>
          <w:sz w:val="28"/>
          <w:szCs w:val="28"/>
          <w:rtl w:val="0"/>
        </w:rPr>
        <w:t xml:space="preserve">10</w:t>
      </w:r>
      <w:r w:rsidDel="00000000" w:rsidR="00000000" w:rsidRPr="00000000">
        <w:rPr>
          <w:rFonts w:ascii="Calibri" w:cs="Calibri" w:eastAsia="Calibri" w:hAnsi="Calibri"/>
          <w:b w:val="1"/>
          <w:sz w:val="28"/>
          <w:szCs w:val="28"/>
          <w:rtl w:val="0"/>
        </w:rPr>
        <w:t xml:space="preserve">.</w:t>
      </w:r>
      <w:r w:rsidDel="00000000" w:rsidR="00000000" w:rsidRPr="00000000">
        <w:rPr>
          <w:b w:val="1"/>
          <w:sz w:val="28"/>
          <w:szCs w:val="28"/>
          <w:rtl w:val="0"/>
        </w:rPr>
        <w:t xml:space="preserve">10</w:t>
      </w:r>
      <w:r w:rsidDel="00000000" w:rsidR="00000000" w:rsidRPr="00000000">
        <w:rPr>
          <w:rFonts w:ascii="Calibri" w:cs="Calibri" w:eastAsia="Calibri" w:hAnsi="Calibri"/>
          <w:b w:val="1"/>
          <w:sz w:val="28"/>
          <w:szCs w:val="28"/>
          <w:rtl w:val="0"/>
        </w:rPr>
        <w:t xml:space="preserve">.2022</w:t>
      </w:r>
    </w:p>
    <w:p w:rsidR="00000000" w:rsidDel="00000000" w:rsidP="00000000" w:rsidRDefault="00000000" w:rsidRPr="00000000" w14:paraId="00000003">
      <w:pPr>
        <w:keepNext w:val="0"/>
        <w:widowControl w:val="1"/>
        <w:spacing w:line="240" w:lineRule="auto"/>
        <w:jc w:val="left"/>
        <w:rPr>
          <w:b w:val="1"/>
          <w:sz w:val="26"/>
          <w:szCs w:val="26"/>
          <w:shd w:fill="fff2cc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keepNext w:val="0"/>
        <w:widowControl w:val="1"/>
        <w:spacing w:line="240" w:lineRule="auto"/>
        <w:jc w:val="center"/>
        <w:rPr>
          <w:b w:val="1"/>
          <w:sz w:val="26"/>
          <w:szCs w:val="26"/>
        </w:rPr>
      </w:pPr>
      <w:r w:rsidDel="00000000" w:rsidR="00000000" w:rsidRPr="00000000">
        <w:rPr>
          <w:b w:val="1"/>
          <w:sz w:val="26"/>
          <w:szCs w:val="26"/>
          <w:rtl w:val="0"/>
        </w:rPr>
        <w:t xml:space="preserve">ENTRENA PARA MORIR, RENACE PARA VIVIR CON LA NUEVA COLECCIÓN DE DÍA DE MUERTOS DE UNDER ARMOUR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jc w:val="center"/>
        <w:rPr>
          <w:sz w:val="32"/>
          <w:szCs w:val="32"/>
        </w:rPr>
      </w:pPr>
      <w:r w:rsidDel="00000000" w:rsidR="00000000" w:rsidRPr="00000000">
        <w:rPr>
          <w:rtl w:val="0"/>
        </w:rPr>
        <w:t xml:space="preserve">La nueva colección de Under Armour celebra uno de los eventos más importantes de la cultura mexicana:  “el Día de Muertos” y en esta temporada está inspirada principalmente en uno de los elementos característicos de este día, como lo son las flores de Cempasúchil. El objetivo de este nuevo diseño es simple: </w:t>
      </w:r>
      <w:r w:rsidDel="00000000" w:rsidR="00000000" w:rsidRPr="00000000">
        <w:rPr>
          <w:i w:val="1"/>
          <w:rtl w:val="0"/>
        </w:rPr>
        <w:t xml:space="preserve">entrena para morir, renace para vivir</w:t>
      </w:r>
      <w:r w:rsidDel="00000000" w:rsidR="00000000" w:rsidRPr="00000000">
        <w:rPr>
          <w:rtl w:val="0"/>
        </w:rPr>
        <w:t xml:space="preserve">.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jc w:val="center"/>
        <w:rPr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jc w:val="center"/>
        <w:rPr>
          <w:sz w:val="32"/>
          <w:szCs w:val="32"/>
        </w:rPr>
      </w:pPr>
      <w:r w:rsidDel="00000000" w:rsidR="00000000" w:rsidRPr="00000000">
        <w:rPr>
          <w:sz w:val="32"/>
          <w:szCs w:val="32"/>
        </w:rPr>
        <w:drawing>
          <wp:inline distB="114300" distT="114300" distL="114300" distR="114300">
            <wp:extent cx="4748213" cy="3325271"/>
            <wp:effectExtent b="0" l="0" r="0" t="0"/>
            <wp:docPr id="14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748213" cy="332527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9">
      <w:pPr>
        <w:jc w:val="center"/>
        <w:rPr>
          <w:rFonts w:ascii="Calibri" w:cs="Calibri" w:eastAsia="Calibri" w:hAnsi="Calibri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spacing w:after="200" w:line="360" w:lineRule="auto"/>
        <w:jc w:val="both"/>
        <w:rPr/>
      </w:pPr>
      <w:r w:rsidDel="00000000" w:rsidR="00000000" w:rsidRPr="00000000">
        <w:rPr>
          <w:i w:val="1"/>
          <w:rtl w:val="0"/>
        </w:rPr>
        <w:t xml:space="preserve">Aceptar el ciclo de la vida y la inevitabilidad de la muerte es una parte de la tradición mexicana.</w:t>
      </w:r>
      <w:r w:rsidDel="00000000" w:rsidR="00000000" w:rsidRPr="00000000">
        <w:rPr>
          <w:i w:val="1"/>
          <w:rtl w:val="0"/>
        </w:rPr>
        <w:t xml:space="preserve"> </w:t>
      </w:r>
      <w:r w:rsidDel="00000000" w:rsidR="00000000" w:rsidRPr="00000000">
        <w:rPr>
          <w:i w:val="1"/>
          <w:rtl w:val="0"/>
        </w:rPr>
        <w:t xml:space="preserve">El camino al Inframundo no es uno al que debemos temer, sino uno lleno de alegrías, enseñanzas y digno de ser festejado</w:t>
      </w:r>
      <w:r w:rsidDel="00000000" w:rsidR="00000000" w:rsidRPr="00000000">
        <w:rPr>
          <w:i w:val="1"/>
          <w:rtl w:val="0"/>
        </w:rPr>
        <w:t xml:space="preserve">.</w:t>
      </w:r>
      <w:r w:rsidDel="00000000" w:rsidR="00000000" w:rsidRPr="00000000">
        <w:rPr>
          <w:rtl w:val="0"/>
        </w:rPr>
        <w:t xml:space="preserve"> Este 2022, la colección </w:t>
      </w:r>
      <w:r w:rsidDel="00000000" w:rsidR="00000000" w:rsidRPr="00000000">
        <w:rPr>
          <w:i w:val="1"/>
          <w:color w:val="1e1919"/>
          <w:rtl w:val="0"/>
        </w:rPr>
        <w:t xml:space="preserve">Day of The Death</w:t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rtl w:val="0"/>
        </w:rPr>
        <w:t xml:space="preserve">se basa en las flores de Cempasúchil; esta flor es uno de los elementos más llamativos en esta celebración. Su tono amarillo intenso, resalta a simple vista y su</w:t>
      </w:r>
      <w:r w:rsidDel="00000000" w:rsidR="00000000" w:rsidRPr="00000000">
        <w:rPr>
          <w:rtl w:val="0"/>
        </w:rPr>
        <w:t xml:space="preserve"> aspecto va más allá de lo decorativo, sino que tiene un significado mucho más profundo. Según la tradición, su color vistoso funciona como guía para los que vienen a la tierra de los vivos desde el Inframundo; también conocido como Mictlán. </w:t>
      </w:r>
    </w:p>
    <w:p w:rsidR="00000000" w:rsidDel="00000000" w:rsidP="00000000" w:rsidRDefault="00000000" w:rsidRPr="00000000" w14:paraId="0000000B">
      <w:pPr>
        <w:spacing w:after="200" w:line="360" w:lineRule="auto"/>
        <w:jc w:val="both"/>
        <w:rPr>
          <w:color w:val="1e1919"/>
        </w:rPr>
      </w:pPr>
      <w:r w:rsidDel="00000000" w:rsidR="00000000" w:rsidRPr="00000000">
        <w:rPr>
          <w:rtl w:val="0"/>
        </w:rPr>
        <w:t xml:space="preserve">La flor de cempasúchil representa el camino que las almas deben seguir para regresar al mundo de los vivos. Lo mismo pasa cuando corremos, o hacemos ejercicio. El deporte verdaderamente se convierte en el camino para muchas personas que buscan desafiarse y encontrar la mejor versión de ellos mismos.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spacing w:after="200" w:line="360" w:lineRule="auto"/>
        <w:jc w:val="both"/>
        <w:rPr>
          <w:color w:val="1e1919"/>
        </w:rPr>
      </w:pPr>
      <w:r w:rsidDel="00000000" w:rsidR="00000000" w:rsidRPr="00000000">
        <w:rPr>
          <w:color w:val="1e1919"/>
          <w:rtl w:val="0"/>
        </w:rPr>
        <w:t xml:space="preserve">Por esta razón, Under Armour ha desarrollado la colección </w:t>
      </w:r>
      <w:r w:rsidDel="00000000" w:rsidR="00000000" w:rsidRPr="00000000">
        <w:rPr>
          <w:i w:val="1"/>
          <w:color w:val="1e1919"/>
          <w:rtl w:val="0"/>
        </w:rPr>
        <w:t xml:space="preserve">Day of The Death</w:t>
      </w:r>
      <w:r w:rsidDel="00000000" w:rsidR="00000000" w:rsidRPr="00000000">
        <w:rPr>
          <w:color w:val="1e1919"/>
          <w:rtl w:val="0"/>
        </w:rPr>
        <w:t xml:space="preserve"> 2022 retomando elementos y tonalidades alusivas a esta celebración tan tradicional en México. Además contará con varios elementos, incluyendo la plataforma </w:t>
      </w:r>
      <w:r w:rsidDel="00000000" w:rsidR="00000000" w:rsidRPr="00000000">
        <w:rPr>
          <w:i w:val="1"/>
          <w:color w:val="1e1919"/>
          <w:rtl w:val="0"/>
        </w:rPr>
        <w:t xml:space="preserve">HOVR</w:t>
      </w:r>
      <w:r w:rsidDel="00000000" w:rsidR="00000000" w:rsidRPr="00000000">
        <w:rPr>
          <w:color w:val="1e1919"/>
          <w:rtl w:val="0"/>
        </w:rPr>
        <w:t xml:space="preserve"> con los </w:t>
      </w:r>
      <w:r w:rsidDel="00000000" w:rsidR="00000000" w:rsidRPr="00000000">
        <w:rPr>
          <w:i w:val="1"/>
          <w:color w:val="1e1919"/>
          <w:rtl w:val="0"/>
        </w:rPr>
        <w:t xml:space="preserve">Phantom 3 </w:t>
      </w:r>
      <w:r w:rsidDel="00000000" w:rsidR="00000000" w:rsidRPr="00000000">
        <w:rPr>
          <w:color w:val="1e1919"/>
          <w:rtl w:val="0"/>
        </w:rPr>
        <w:t xml:space="preserve">y los</w:t>
      </w:r>
      <w:r w:rsidDel="00000000" w:rsidR="00000000" w:rsidRPr="00000000">
        <w:rPr>
          <w:i w:val="1"/>
          <w:color w:val="1e1919"/>
          <w:rtl w:val="0"/>
        </w:rPr>
        <w:t xml:space="preserve"> Sonic 5</w:t>
      </w:r>
      <w:r w:rsidDel="00000000" w:rsidR="00000000" w:rsidRPr="00000000">
        <w:rPr>
          <w:color w:val="1e1919"/>
          <w:rtl w:val="0"/>
        </w:rPr>
        <w:t xml:space="preserve">, que le permiten a los corredores la mayor comodidad. Y también con la tecnología </w:t>
      </w:r>
      <w:r w:rsidDel="00000000" w:rsidR="00000000" w:rsidRPr="00000000">
        <w:rPr>
          <w:i w:val="1"/>
          <w:color w:val="1e1919"/>
          <w:rtl w:val="0"/>
        </w:rPr>
        <w:t xml:space="preserve">UA Storm</w:t>
      </w:r>
      <w:r w:rsidDel="00000000" w:rsidR="00000000" w:rsidRPr="00000000">
        <w:rPr>
          <w:color w:val="1e1919"/>
          <w:rtl w:val="0"/>
        </w:rPr>
        <w:t xml:space="preserve">, que es resistente al agua y se mantiene seca en condiciones húmedas.</w:t>
      </w:r>
    </w:p>
    <w:p w:rsidR="00000000" w:rsidDel="00000000" w:rsidP="00000000" w:rsidRDefault="00000000" w:rsidRPr="00000000" w14:paraId="0000000D">
      <w:pPr>
        <w:spacing w:after="200" w:line="360" w:lineRule="auto"/>
        <w:jc w:val="both"/>
        <w:rPr>
          <w:color w:val="1e1919"/>
        </w:rPr>
      </w:pPr>
      <w:r w:rsidDel="00000000" w:rsidR="00000000" w:rsidRPr="00000000">
        <w:rPr>
          <w:color w:val="1e1919"/>
          <w:rtl w:val="0"/>
        </w:rPr>
        <w:t xml:space="preserve">Este conjunto de ropa  y calzado deportivo, que además de tener toda la innovación y la tecnología que caracteriza a Under Armour, cuenta con un espectacular diseño</w:t>
      </w:r>
      <w:r w:rsidDel="00000000" w:rsidR="00000000" w:rsidRPr="00000000">
        <w:rPr>
          <w:color w:val="1e1919"/>
          <w:rtl w:val="0"/>
        </w:rPr>
        <w:t xml:space="preserve"> cuyos colores principales son amarillo y morado. El morado se encuentra en arreglos florales que acompañan al cempasúchil. Estos tonos que son protagonistas en los altares</w:t>
      </w:r>
      <w:r w:rsidDel="00000000" w:rsidR="00000000" w:rsidRPr="00000000">
        <w:rPr>
          <w:color w:val="1e1919"/>
          <w:rtl w:val="0"/>
        </w:rPr>
        <w:t xml:space="preserve"> del Día de Muertos, son la principal inspiración de esta nueva colección que rinde tributo a una de las festividades más importantes del año. </w:t>
      </w:r>
    </w:p>
    <w:p w:rsidR="00000000" w:rsidDel="00000000" w:rsidP="00000000" w:rsidRDefault="00000000" w:rsidRPr="00000000" w14:paraId="0000000E">
      <w:pPr>
        <w:spacing w:after="200" w:line="360" w:lineRule="auto"/>
        <w:jc w:val="both"/>
        <w:rPr/>
      </w:pPr>
      <w:r w:rsidDel="00000000" w:rsidR="00000000" w:rsidRPr="00000000">
        <w:rPr>
          <w:color w:val="1e1919"/>
          <w:rtl w:val="0"/>
        </w:rPr>
        <w:t xml:space="preserve">La calidad y la innovación se mantienen como uno de los pilares del diseño de esta colección, que encuentra las similitudes entre el camino que siguen las almas hasta la tierra de los vivos, y el camino que siguen los atletas hacia sus metas. El Día de Muertos no sólo es recordar a los que ya no están, es una celebración de la vid</w:t>
      </w:r>
      <w:r w:rsidDel="00000000" w:rsidR="00000000" w:rsidRPr="00000000">
        <w:rPr>
          <w:rtl w:val="0"/>
        </w:rPr>
        <w:t xml:space="preserve">a. Celebrar la vida es hacer lo que nos apasiona, y para muchas personas, hacer deporte significa justamente eso, p</w:t>
      </w:r>
      <w:r w:rsidDel="00000000" w:rsidR="00000000" w:rsidRPr="00000000">
        <w:rPr>
          <w:rtl w:val="0"/>
        </w:rPr>
        <w:t xml:space="preserve">or esa razón: entrena para morir, renace para vivir. Esta colección estará a la venta en las Under Armour Brand Houses, en underarmour.com.mx, Innovasport, Liverpool, Dportenis y Martí. </w:t>
      </w:r>
    </w:p>
    <w:p w:rsidR="00000000" w:rsidDel="00000000" w:rsidP="00000000" w:rsidRDefault="00000000" w:rsidRPr="00000000" w14:paraId="0000000F">
      <w:pPr>
        <w:spacing w:line="360" w:lineRule="auto"/>
        <w:jc w:val="center"/>
        <w:rPr>
          <w:rFonts w:ascii="Calibri" w:cs="Calibri" w:eastAsia="Calibri" w:hAnsi="Calibri"/>
        </w:rPr>
      </w:pPr>
      <w:r w:rsidDel="00000000" w:rsidR="00000000" w:rsidRPr="00000000">
        <w:rPr>
          <w:color w:val="1e1919"/>
          <w:rtl w:val="0"/>
        </w:rPr>
        <w:t xml:space="preserve"> </w:t>
      </w:r>
      <w:r w:rsidDel="00000000" w:rsidR="00000000" w:rsidRPr="00000000">
        <w:rPr>
          <w:color w:val="1e1919"/>
        </w:rPr>
        <w:drawing>
          <wp:inline distB="19050" distT="19050" distL="19050" distR="19050">
            <wp:extent cx="2203821" cy="2995613"/>
            <wp:effectExtent b="0" l="0" r="0" t="0"/>
            <wp:docPr id="13" name="image4.jpg"/>
            <a:graphic>
              <a:graphicData uri="http://schemas.openxmlformats.org/drawingml/2006/picture">
                <pic:pic>
                  <pic:nvPicPr>
                    <pic:cNvPr id="0" name="image4.jpg"/>
                    <pic:cNvPicPr preferRelativeResize="0"/>
                  </pic:nvPicPr>
                  <pic:blipFill>
                    <a:blip r:embed="rId8"/>
                    <a:srcRect b="0" l="6985" r="43784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03821" cy="299561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color w:val="1e1919"/>
        </w:rPr>
        <w:drawing>
          <wp:inline distB="114300" distT="114300" distL="114300" distR="114300">
            <wp:extent cx="1687041" cy="3006515"/>
            <wp:effectExtent b="0" l="0" r="0" t="0"/>
            <wp:docPr id="11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687041" cy="300651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color w:val="1e1919"/>
        </w:rPr>
        <w:drawing>
          <wp:inline distB="114300" distT="114300" distL="114300" distR="114300">
            <wp:extent cx="1696566" cy="3017137"/>
            <wp:effectExtent b="0" l="0" r="0" t="0"/>
            <wp:docPr id="12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696566" cy="301713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0">
      <w:pPr>
        <w:jc w:val="both"/>
        <w:rPr>
          <w:rFonts w:ascii="Calibri" w:cs="Calibri" w:eastAsia="Calibri" w:hAnsi="Calibri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1">
      <w:pPr>
        <w:pBdr>
          <w:bottom w:color="000000" w:space="1" w:sz="12" w:val="single"/>
        </w:pBdr>
        <w:jc w:val="both"/>
        <w:rPr>
          <w:rFonts w:ascii="ARMOUR Cd" w:cs="ARMOUR Cd" w:eastAsia="ARMOUR Cd" w:hAnsi="ARMOUR Cd"/>
        </w:rPr>
      </w:pPr>
      <w:r w:rsidDel="00000000" w:rsidR="00000000" w:rsidRPr="00000000">
        <w:rPr>
          <w:rFonts w:ascii="ARMOUR Cd" w:cs="ARMOUR Cd" w:eastAsia="ARMOUR Cd" w:hAnsi="ARMOUR Cd"/>
          <w:b w:val="1"/>
          <w:rtl w:val="0"/>
        </w:rPr>
        <w:t xml:space="preserve">Sobre Under Armour, Inc.:</w:t>
      </w:r>
      <w:r w:rsidDel="00000000" w:rsidR="00000000" w:rsidRPr="00000000">
        <w:rPr>
          <w:rFonts w:ascii="ARMOUR Cd" w:cs="ARMOUR Cd" w:eastAsia="ARMOUR Cd" w:hAnsi="ARMOUR Cd"/>
          <w:rtl w:val="0"/>
        </w:rPr>
        <w:t xml:space="preserve"> </w:t>
      </w:r>
    </w:p>
    <w:p w:rsidR="00000000" w:rsidDel="00000000" w:rsidP="00000000" w:rsidRDefault="00000000" w:rsidRPr="00000000" w14:paraId="00000012">
      <w:pPr>
        <w:spacing w:after="240" w:before="240" w:lineRule="auto"/>
        <w:jc w:val="both"/>
        <w:rPr>
          <w:rFonts w:ascii="ARMOUR Cd" w:cs="ARMOUR Cd" w:eastAsia="ARMOUR Cd" w:hAnsi="ARMOUR Cd"/>
          <w:color w:val="1155cc"/>
          <w:u w:val="single"/>
        </w:rPr>
      </w:pPr>
      <w:r w:rsidDel="00000000" w:rsidR="00000000" w:rsidRPr="00000000">
        <w:rPr>
          <w:rFonts w:ascii="ARMOUR Cd" w:cs="ARMOUR Cd" w:eastAsia="ARMOUR Cd" w:hAnsi="ARMOUR Cd"/>
          <w:rtl w:val="0"/>
        </w:rPr>
        <w:t xml:space="preserve">Under Armour (NYSE: UA), con oficinas centrales en Baltimore, Maryland es líder inventor, comercializador y distribuidor de calzado, ropa y equipamiento de alto desempeño. Diseñada para hacer a todos los atletas mejores, los innovadores productos de la marca son vendidos en todo el mundo a atletas de todos los niveles.  La plataforma Under Armour Connected </w:t>
      </w:r>
      <w:r w:rsidDel="00000000" w:rsidR="00000000" w:rsidRPr="00000000">
        <w:rPr>
          <w:rFonts w:ascii="ARMOUR Cd" w:cs="ARMOUR Cd" w:eastAsia="ARMOUR Cd" w:hAnsi="ARMOUR Cd"/>
          <w:rtl w:val="0"/>
        </w:rPr>
        <w:t xml:space="preserve">Fitness</w:t>
      </w:r>
      <w:r w:rsidDel="00000000" w:rsidR="00000000" w:rsidRPr="00000000">
        <w:rPr>
          <w:rFonts w:ascii="ARMOUR Cd" w:cs="ARMOUR Cd" w:eastAsia="ARMOUR Cd" w:hAnsi="ARMOUR Cd"/>
          <w:vertAlign w:val="superscript"/>
          <w:rtl w:val="0"/>
        </w:rPr>
        <w:t xml:space="preserve">TM</w:t>
      </w:r>
      <w:r w:rsidDel="00000000" w:rsidR="00000000" w:rsidRPr="00000000">
        <w:rPr>
          <w:rFonts w:ascii="ARMOUR Cd" w:cs="ARMOUR Cd" w:eastAsia="ARMOUR Cd" w:hAnsi="ARMOUR Cd"/>
          <w:rtl w:val="0"/>
        </w:rPr>
        <w:t xml:space="preserve"> alberga a la comunidad más grande de atletas y salud digital. Para más información, por favor visite el sitio web de la compañía:</w:t>
      </w:r>
      <w:hyperlink r:id="rId11">
        <w:r w:rsidDel="00000000" w:rsidR="00000000" w:rsidRPr="00000000">
          <w:rPr>
            <w:rFonts w:ascii="ARMOUR Cd" w:cs="ARMOUR Cd" w:eastAsia="ARMOUR Cd" w:hAnsi="ARMOUR Cd"/>
            <w:rtl w:val="0"/>
          </w:rPr>
          <w:t xml:space="preserve"> </w:t>
        </w:r>
      </w:hyperlink>
      <w:hyperlink r:id="rId12">
        <w:r w:rsidDel="00000000" w:rsidR="00000000" w:rsidRPr="00000000">
          <w:rPr>
            <w:rFonts w:ascii="ARMOUR Cd" w:cs="ARMOUR Cd" w:eastAsia="ARMOUR Cd" w:hAnsi="ARMOUR Cd"/>
            <w:color w:val="1155cc"/>
            <w:u w:val="single"/>
            <w:rtl w:val="0"/>
          </w:rPr>
          <w:t xml:space="preserve">www.uabiz.com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3">
      <w:pPr>
        <w:jc w:val="both"/>
        <w:rPr>
          <w:rFonts w:ascii="ARMOUR Cd" w:cs="ARMOUR Cd" w:eastAsia="ARMOUR Cd" w:hAnsi="ARMOUR Cd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4">
      <w:pPr>
        <w:jc w:val="both"/>
        <w:rPr>
          <w:rFonts w:ascii="ARMOUR Cd" w:cs="ARMOUR Cd" w:eastAsia="ARMOUR Cd" w:hAnsi="ARMOUR Cd"/>
          <w:b w:val="1"/>
        </w:rPr>
      </w:pPr>
      <w:r w:rsidDel="00000000" w:rsidR="00000000" w:rsidRPr="00000000">
        <w:rPr>
          <w:rFonts w:ascii="ARMOUR Cd" w:cs="ARMOUR Cd" w:eastAsia="ARMOUR Cd" w:hAnsi="ARMOUR Cd"/>
          <w:b w:val="1"/>
          <w:rtl w:val="0"/>
        </w:rPr>
        <w:t xml:space="preserve">Contacto para medios:</w:t>
      </w:r>
    </w:p>
    <w:p w:rsidR="00000000" w:rsidDel="00000000" w:rsidP="00000000" w:rsidRDefault="00000000" w:rsidRPr="00000000" w14:paraId="00000015">
      <w:pPr>
        <w:jc w:val="both"/>
        <w:rPr>
          <w:rFonts w:ascii="Calibri" w:cs="Calibri" w:eastAsia="Calibri" w:hAnsi="Calibri"/>
        </w:rPr>
      </w:pPr>
      <w:r w:rsidDel="00000000" w:rsidR="00000000" w:rsidRPr="00000000">
        <w:rPr>
          <w:rFonts w:ascii="Calibri" w:cs="Calibri" w:eastAsia="Calibri" w:hAnsi="Calibri"/>
          <w:rtl w:val="0"/>
        </w:rPr>
        <w:t xml:space="preserve">Cinthia León Rodríguez</w:t>
      </w:r>
    </w:p>
    <w:p w:rsidR="00000000" w:rsidDel="00000000" w:rsidP="00000000" w:rsidRDefault="00000000" w:rsidRPr="00000000" w14:paraId="00000016">
      <w:pPr>
        <w:jc w:val="both"/>
        <w:rPr>
          <w:rFonts w:ascii="Calibri" w:cs="Calibri" w:eastAsia="Calibri" w:hAnsi="Calibri"/>
        </w:rPr>
      </w:pPr>
      <w:r w:rsidDel="00000000" w:rsidR="00000000" w:rsidRPr="00000000">
        <w:rPr>
          <w:rFonts w:ascii="Calibri" w:cs="Calibri" w:eastAsia="Calibri" w:hAnsi="Calibri"/>
          <w:rtl w:val="0"/>
        </w:rPr>
        <w:t xml:space="preserve">cinthia@qprw.co</w:t>
      </w:r>
    </w:p>
    <w:p w:rsidR="00000000" w:rsidDel="00000000" w:rsidP="00000000" w:rsidRDefault="00000000" w:rsidRPr="00000000" w14:paraId="00000017">
      <w:pPr>
        <w:jc w:val="both"/>
        <w:rPr>
          <w:rFonts w:ascii="Calibri" w:cs="Calibri" w:eastAsia="Calibri" w:hAnsi="Calibri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8">
      <w:pPr>
        <w:jc w:val="both"/>
        <w:rPr>
          <w:rFonts w:ascii="Calibri" w:cs="Calibri" w:eastAsia="Calibri" w:hAnsi="Calibri"/>
          <w:sz w:val="32"/>
          <w:szCs w:val="32"/>
        </w:rPr>
      </w:pPr>
      <w:r w:rsidDel="00000000" w:rsidR="00000000" w:rsidRPr="00000000">
        <w:rPr>
          <w:rtl w:val="0"/>
        </w:rPr>
      </w:r>
    </w:p>
    <w:sectPr>
      <w:headerReference r:id="rId13" w:type="default"/>
      <w:headerReference r:id="rId14" w:type="first"/>
      <w:headerReference r:id="rId15" w:type="even"/>
      <w:footerReference r:id="rId16" w:type="first"/>
      <w:footerReference r:id="rId17" w:type="even"/>
      <w:pgSz w:h="15840" w:w="12240" w:orient="portrait"/>
      <w:pgMar w:bottom="1440" w:top="1440" w:left="1440" w:right="1440" w:header="705.6" w:footer="705.6"/>
      <w:pgNumType w:start="1"/>
      <w:titlePg w:val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Calibri"/>
  <w:font w:name="Georgia"/>
  <w:font w:name="ARMOUR Cd"/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01C">
    <w:pPr>
      <w:rPr/>
    </w:pPr>
    <w:r w:rsidDel="00000000" w:rsidR="00000000" w:rsidRPr="00000000">
      <w:rPr>
        <w:rtl w:val="0"/>
      </w:rPr>
    </w:r>
  </w:p>
</w:ftr>
</file>

<file path=word/footer2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01D">
    <w:pPr>
      <w:rPr/>
    </w:pPr>
    <w:r w:rsidDel="00000000" w:rsidR="00000000" w:rsidRPr="00000000">
      <w:rPr>
        <w:rtl w:val="0"/>
      </w:rPr>
    </w:r>
  </w:p>
</w:ftr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019">
    <w:pPr>
      <w:rPr/>
    </w:pPr>
    <w:r w:rsidDel="00000000" w:rsidR="00000000" w:rsidRPr="00000000">
      <w:rPr/>
      <w:drawing>
        <wp:inline distB="114300" distT="114300" distL="114300" distR="114300">
          <wp:extent cx="5943600" cy="787400"/>
          <wp:effectExtent b="0" l="0" r="0" t="0"/>
          <wp:docPr id="15" name="image1.png"/>
          <a:graphic>
            <a:graphicData uri="http://schemas.openxmlformats.org/drawingml/2006/picture">
              <pic:pic>
                <pic:nvPicPr>
                  <pic:cNvPr id="0" name="image1.png"/>
                  <pic:cNvPicPr preferRelativeResize="0"/>
                </pic:nvPicPr>
                <pic:blipFill>
                  <a:blip r:embed="rId1"/>
                  <a:srcRect b="0" l="0" r="0" t="0"/>
                  <a:stretch>
                    <a:fillRect/>
                  </a:stretch>
                </pic:blipFill>
                <pic:spPr>
                  <a:xfrm>
                    <a:off x="0" y="0"/>
                    <a:ext cx="5943600" cy="787400"/>
                  </a:xfrm>
                  <a:prstGeom prst="rect"/>
                  <a:ln/>
                </pic:spPr>
              </pic:pic>
            </a:graphicData>
          </a:graphic>
        </wp:inline>
      </w:drawing>
    </w:r>
    <w:r w:rsidDel="00000000" w:rsidR="00000000" w:rsidRPr="00000000">
      <w:rPr>
        <w:rtl w:val="0"/>
      </w:rPr>
    </w:r>
  </w:p>
</w:hdr>
</file>

<file path=word/header2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01A">
    <w:pPr>
      <w:rPr/>
    </w:pPr>
    <w:r w:rsidDel="00000000" w:rsidR="00000000" w:rsidRPr="00000000">
      <w:rPr>
        <w:rtl w:val="0"/>
      </w:rPr>
    </w:r>
  </w:p>
</w:hdr>
</file>

<file path=word/header3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01B">
    <w:pPr>
      <w:rPr/>
    </w:pPr>
    <w:r w:rsidDel="00000000" w:rsidR="00000000" w:rsidRPr="00000000">
      <w:rPr>
        <w:rtl w:val="0"/>
      </w:rPr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Calibri" w:cs="Calibri" w:eastAsia="Calibri" w:hAnsi="Calibri"/>
        <w:sz w:val="24"/>
        <w:szCs w:val="24"/>
        <w:lang w:val="es-ES_tradnl"/>
      </w:rPr>
    </w:rPrDefault>
    <w:pPrDefault>
      <w:pPr/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80" w:lineRule="auto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80" w:before="36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40" w:before="220" w:lineRule="auto"/>
    </w:pPr>
    <w:rPr>
      <w:b w:val="1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120" w:before="480" w:lineRule="auto"/>
    </w:pPr>
    <w:rPr>
      <w:b w:val="1"/>
      <w:sz w:val="72"/>
      <w:szCs w:val="72"/>
    </w:rPr>
  </w:style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80" w:lineRule="auto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80" w:before="36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40" w:before="220" w:lineRule="auto"/>
    </w:pPr>
    <w:rPr>
      <w:b w:val="1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120" w:before="480" w:lineRule="auto"/>
    </w:pPr>
    <w:rPr>
      <w:b w:val="1"/>
      <w:sz w:val="72"/>
      <w:szCs w:val="72"/>
    </w:rPr>
  </w:style>
  <w:style w:type="paragraph" w:styleId="Normal" w:default="1">
    <w:name w:val="Normal"/>
    <w:qFormat w:val="1"/>
  </w:style>
  <w:style w:type="character" w:styleId="Fuentedeprrafopredeter" w:default="1">
    <w:name w:val="Default Paragraph Font"/>
    <w:uiPriority w:val="1"/>
    <w:semiHidden w:val="1"/>
    <w:unhideWhenUsed w:val="1"/>
  </w:style>
  <w:style w:type="table" w:styleId="Tablanormal" w:default="1">
    <w:name w:val="Normal Table"/>
    <w:uiPriority w:val="99"/>
    <w:semiHidden w:val="1"/>
    <w:unhideWhenUsed w:val="1"/>
    <w:tblPr>
      <w:tblInd w:w="0.0" w:type="dxa"/>
      <w:tblCellMar>
        <w:top w:w="0.0" w:type="dxa"/>
        <w:left w:w="108.0" w:type="dxa"/>
        <w:bottom w:w="0.0" w:type="dxa"/>
        <w:right w:w="108.0" w:type="dxa"/>
      </w:tblCellMar>
    </w:tblPr>
  </w:style>
  <w:style w:type="numbering" w:styleId="Sinlista" w:default="1">
    <w:name w:val="No List"/>
    <w:uiPriority w:val="99"/>
    <w:semiHidden w:val="1"/>
    <w:unhideWhenUsed w:val="1"/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</w:styles>
</file>

<file path=word/_rels/document.xml.rels><?xml version="1.0" encoding="UTF-8" standalone="yes"?><Relationships xmlns="http://schemas.openxmlformats.org/package/2006/relationships"><Relationship Id="rId11" Type="http://schemas.openxmlformats.org/officeDocument/2006/relationships/hyperlink" Target="http://www.uabiz.com/" TargetMode="External"/><Relationship Id="rId10" Type="http://schemas.openxmlformats.org/officeDocument/2006/relationships/image" Target="media/image3.png"/><Relationship Id="rId13" Type="http://schemas.openxmlformats.org/officeDocument/2006/relationships/header" Target="header2.xml"/><Relationship Id="rId12" Type="http://schemas.openxmlformats.org/officeDocument/2006/relationships/hyperlink" Target="http://www.uabiz.com/" TargetMode="External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2.png"/><Relationship Id="rId15" Type="http://schemas.openxmlformats.org/officeDocument/2006/relationships/header" Target="header3.xml"/><Relationship Id="rId14" Type="http://schemas.openxmlformats.org/officeDocument/2006/relationships/header" Target="header1.xml"/><Relationship Id="rId17" Type="http://schemas.openxmlformats.org/officeDocument/2006/relationships/footer" Target="footer2.xml"/><Relationship Id="rId16" Type="http://schemas.openxmlformats.org/officeDocument/2006/relationships/footer" Target="footer1.xml"/><Relationship Id="rId5" Type="http://schemas.openxmlformats.org/officeDocument/2006/relationships/styles" Target="styles.xml"/><Relationship Id="rId6" Type="http://schemas.openxmlformats.org/officeDocument/2006/relationships/customXml" Target="../customXML/item1.xml"/><Relationship Id="rId7" Type="http://schemas.openxmlformats.org/officeDocument/2006/relationships/image" Target="media/image5.png"/><Relationship Id="rId8" Type="http://schemas.openxmlformats.org/officeDocument/2006/relationships/image" Target="media/image4.jpg"/></Relationships>
</file>

<file path=word/_rels/header1.xml.rels><?xml version="1.0" encoding="UTF-8" standalone="yes"?>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iWs9KDRDMAuWLVTJGle/vWK4XWRA==">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2022-09-20T18:55:00Z</dcterms:created>
  <dc:creator>F1rstcomm Comunicación</dc:creator>
</cp:coreProperties>
</file>